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08" w:rsidRPr="00247C22" w:rsidRDefault="006E5A08" w:rsidP="006E5A08">
      <w:pPr>
        <w:snapToGrid w:val="0"/>
        <w:spacing w:after="0" w:line="240" w:lineRule="auto"/>
        <w:jc w:val="center"/>
        <w:rPr>
          <w:rFonts w:ascii="Century" w:hAnsi="Century"/>
          <w:b/>
          <w:color w:val="000000" w:themeColor="text1"/>
          <w:sz w:val="30"/>
          <w:szCs w:val="24"/>
        </w:rPr>
      </w:pPr>
      <w:r w:rsidRPr="00247C22">
        <w:rPr>
          <w:rFonts w:ascii="Century" w:hAnsi="Century"/>
          <w:b/>
          <w:color w:val="000000" w:themeColor="text1"/>
          <w:sz w:val="30"/>
          <w:szCs w:val="24"/>
        </w:rPr>
        <w:t>Determinants of Output and Input Market Orientation and Its Effect on Agricultural Production</w:t>
      </w:r>
    </w:p>
    <w:p w:rsidR="006E5A08" w:rsidRPr="00600A49" w:rsidRDefault="006E5A08" w:rsidP="006E5A08">
      <w:pPr>
        <w:pStyle w:val="a3"/>
        <w:snapToGrid w:val="0"/>
        <w:spacing w:after="0" w:line="240" w:lineRule="auto"/>
        <w:ind w:left="0"/>
        <w:rPr>
          <w:rFonts w:ascii="Century" w:hAnsi="Century"/>
          <w:color w:val="000000" w:themeColor="text1"/>
          <w:sz w:val="6"/>
          <w:szCs w:val="24"/>
        </w:rPr>
      </w:pPr>
    </w:p>
    <w:p w:rsidR="006E5A08" w:rsidRPr="00600A49" w:rsidRDefault="006E5A08" w:rsidP="006E5A08">
      <w:pPr>
        <w:pStyle w:val="a3"/>
        <w:snapToGrid w:val="0"/>
        <w:spacing w:after="0" w:line="240" w:lineRule="auto"/>
        <w:ind w:left="0"/>
        <w:rPr>
          <w:rFonts w:ascii="Century" w:hAnsi="Century"/>
          <w:color w:val="000000" w:themeColor="text1"/>
          <w:sz w:val="26"/>
          <w:szCs w:val="24"/>
        </w:rPr>
      </w:pPr>
    </w:p>
    <w:p w:rsidR="006E5A08" w:rsidRPr="00600A49" w:rsidRDefault="006E5A08" w:rsidP="006E5A08">
      <w:pPr>
        <w:pStyle w:val="a3"/>
        <w:snapToGrid w:val="0"/>
        <w:spacing w:after="0" w:line="240" w:lineRule="auto"/>
        <w:ind w:left="0"/>
        <w:jc w:val="center"/>
        <w:rPr>
          <w:rFonts w:ascii="Century" w:hAnsi="Century"/>
          <w:color w:val="000000" w:themeColor="text1"/>
          <w:sz w:val="24"/>
          <w:szCs w:val="24"/>
        </w:rPr>
      </w:pPr>
      <w:r w:rsidRPr="00600A49">
        <w:rPr>
          <w:rFonts w:ascii="Century" w:hAnsi="Century"/>
          <w:color w:val="000000" w:themeColor="text1"/>
          <w:sz w:val="24"/>
          <w:szCs w:val="24"/>
        </w:rPr>
        <w:t>Sujan Piya</w:t>
      </w:r>
      <w:r w:rsidRPr="00600A49">
        <w:rPr>
          <w:rStyle w:val="a6"/>
          <w:rFonts w:ascii="Century" w:hAnsi="Century"/>
          <w:color w:val="000000" w:themeColor="text1"/>
          <w:sz w:val="18"/>
          <w:szCs w:val="18"/>
        </w:rPr>
        <w:footnoteReference w:id="1"/>
      </w:r>
      <w:r w:rsidRPr="00600A49">
        <w:rPr>
          <w:rFonts w:ascii="Century" w:hAnsi="Century"/>
          <w:color w:val="000000" w:themeColor="text1"/>
          <w:sz w:val="24"/>
          <w:szCs w:val="24"/>
        </w:rPr>
        <w:t>, Akira Kiminami</w:t>
      </w:r>
      <w:r w:rsidRPr="00600A49">
        <w:rPr>
          <w:rStyle w:val="a6"/>
          <w:rFonts w:ascii="Century" w:hAnsi="Century"/>
          <w:color w:val="000000" w:themeColor="text1"/>
          <w:sz w:val="18"/>
          <w:szCs w:val="18"/>
        </w:rPr>
        <w:footnoteReference w:id="2"/>
      </w:r>
      <w:r w:rsidRPr="00600A49">
        <w:rPr>
          <w:rFonts w:ascii="Century" w:hAnsi="Century"/>
          <w:color w:val="000000" w:themeColor="text1"/>
          <w:sz w:val="24"/>
          <w:szCs w:val="24"/>
        </w:rPr>
        <w:t>, Hironori Yagi</w:t>
      </w:r>
      <w:r w:rsidRPr="00600A49">
        <w:rPr>
          <w:rStyle w:val="a6"/>
          <w:rFonts w:ascii="Century" w:hAnsi="Century"/>
          <w:color w:val="000000" w:themeColor="text1"/>
          <w:sz w:val="18"/>
          <w:szCs w:val="18"/>
        </w:rPr>
        <w:footnoteReference w:id="3"/>
      </w:r>
    </w:p>
    <w:p w:rsidR="006E5A08" w:rsidRDefault="006E5A08" w:rsidP="00692007">
      <w:pPr>
        <w:jc w:val="center"/>
        <w:rPr>
          <w:rFonts w:ascii="MS Gothic" w:eastAsia="MS Gothic" w:hAnsi="MS Gothic" w:cs="MS Gothic"/>
        </w:rPr>
      </w:pPr>
    </w:p>
    <w:p w:rsidR="006E5A08" w:rsidRDefault="006E5A08" w:rsidP="00692007">
      <w:pPr>
        <w:jc w:val="center"/>
        <w:rPr>
          <w:rFonts w:ascii="MS Gothic" w:eastAsia="MS Gothic" w:hAnsi="MS Gothic" w:cs="MS Gothic"/>
        </w:rPr>
      </w:pPr>
    </w:p>
    <w:p w:rsidR="00692007" w:rsidRDefault="00692007" w:rsidP="00692007">
      <w:pPr>
        <w:jc w:val="center"/>
        <w:rPr>
          <w:rFonts w:ascii="MS Gothic" w:eastAsia="MS Gothic" w:hAnsi="MS Gothic" w:cs="MS Gothic"/>
          <w:lang w:eastAsia="ja-JP"/>
        </w:rPr>
      </w:pPr>
      <w:r>
        <w:rPr>
          <w:rFonts w:ascii="MS Gothic" w:eastAsia="MS Gothic" w:hAnsi="MS Gothic" w:cs="MS Gothic"/>
          <w:lang w:eastAsia="ja-JP"/>
        </w:rPr>
        <w:t>Abstract</w:t>
      </w:r>
    </w:p>
    <w:p w:rsidR="00166860" w:rsidRDefault="00692007" w:rsidP="00692007">
      <w:pPr>
        <w:jc w:val="both"/>
        <w:rPr>
          <w:rFonts w:ascii="MS Mincho" w:hAnsi="MS Mincho" w:cs="MS Mincho" w:hint="eastAsia"/>
          <w:lang w:eastAsia="ja-JP"/>
        </w:rPr>
      </w:pPr>
      <w:r>
        <w:rPr>
          <w:rFonts w:ascii="MS Gothic" w:eastAsia="MS Gothic" w:hAnsi="MS Gothic" w:cs="MS Gothic" w:hint="eastAsia"/>
          <w:lang w:eastAsia="ja-JP"/>
        </w:rPr>
        <w:t>本研究では、ネパールにおける農産物の商品経済化、およびそれが稲作の生産性に与える影響に焦点を当てたものである。ネパールの</w:t>
      </w:r>
      <w:r>
        <w:rPr>
          <w:lang w:eastAsia="ja-JP"/>
        </w:rPr>
        <w:t>2</w:t>
      </w:r>
      <w:r>
        <w:rPr>
          <w:rFonts w:ascii="MS Gothic" w:eastAsia="MS Gothic" w:hAnsi="MS Gothic" w:cs="MS Gothic" w:hint="eastAsia"/>
          <w:lang w:eastAsia="ja-JP"/>
        </w:rPr>
        <w:t>つの地区において</w:t>
      </w:r>
      <w:r>
        <w:rPr>
          <w:lang w:eastAsia="ja-JP"/>
        </w:rPr>
        <w:t xml:space="preserve">120 </w:t>
      </w:r>
      <w:r>
        <w:rPr>
          <w:rFonts w:ascii="MS Gothic" w:eastAsia="MS Gothic" w:hAnsi="MS Gothic" w:cs="MS Gothic" w:hint="eastAsia"/>
          <w:lang w:eastAsia="ja-JP"/>
        </w:rPr>
        <w:t>戸の稲作農家を対象とした実態調査を実施した。分析では、まず、商品経済化指標を計算し、農家の特性や市場距離を含む変数による回帰分析を行った。実証分</w:t>
      </w:r>
      <w:r>
        <w:rPr>
          <w:lang w:eastAsia="ja-JP"/>
        </w:rPr>
        <w:t xml:space="preserve"> </w:t>
      </w:r>
      <w:r>
        <w:rPr>
          <w:rFonts w:ascii="MS Gothic" w:eastAsia="MS Gothic" w:hAnsi="MS Gothic" w:cs="MS Gothic" w:hint="eastAsia"/>
          <w:lang w:eastAsia="ja-JP"/>
        </w:rPr>
        <w:t>析の結果は、商品経済化は、市場距離によって負の影響を受け、農地規模、年齢構成、家族サイズによって正の影響を受けることを示した。次に、稲作農家の商</w:t>
      </w:r>
      <w:r>
        <w:rPr>
          <w:lang w:eastAsia="ja-JP"/>
        </w:rPr>
        <w:t xml:space="preserve"> </w:t>
      </w:r>
      <w:r>
        <w:rPr>
          <w:rFonts w:ascii="MS Gothic" w:eastAsia="MS Gothic" w:hAnsi="MS Gothic" w:cs="MS Gothic" w:hint="eastAsia"/>
          <w:lang w:eastAsia="ja-JP"/>
        </w:rPr>
        <w:t>品経済化の程度は、生産性に正の影響を有していることを明らかにした。また、農家の性別構成、世帯主年齢、所得源、農地面積、単位面積当たり投入水準など</w:t>
      </w:r>
      <w:r>
        <w:rPr>
          <w:lang w:eastAsia="ja-JP"/>
        </w:rPr>
        <w:t xml:space="preserve"> </w:t>
      </w:r>
      <w:r>
        <w:rPr>
          <w:rFonts w:ascii="MS Gothic" w:eastAsia="MS Gothic" w:hAnsi="MS Gothic" w:cs="MS Gothic" w:hint="eastAsia"/>
          <w:lang w:eastAsia="ja-JP"/>
        </w:rPr>
        <w:t>の他の多くの農家の社会経済的特性が、米の生産性に大きな影響を与えることが示された</w:t>
      </w:r>
      <w:r>
        <w:rPr>
          <w:rFonts w:ascii="MS Mincho" w:eastAsia="MS Mincho" w:hAnsi="MS Mincho" w:cs="MS Mincho" w:hint="eastAsia"/>
          <w:lang w:eastAsia="ja-JP"/>
        </w:rPr>
        <w:t>。</w:t>
      </w:r>
    </w:p>
    <w:p w:rsidR="00B8049A" w:rsidRDefault="00B8049A" w:rsidP="00692007">
      <w:pPr>
        <w:jc w:val="both"/>
        <w:rPr>
          <w:rFonts w:ascii="MS Mincho" w:hAnsi="MS Mincho" w:cs="MS Mincho" w:hint="eastAsia"/>
          <w:lang w:eastAsia="ja-JP"/>
        </w:rPr>
      </w:pPr>
    </w:p>
    <w:p w:rsidR="00B8049A" w:rsidRDefault="00B8049A" w:rsidP="00692007">
      <w:pPr>
        <w:jc w:val="both"/>
        <w:rPr>
          <w:rFonts w:ascii="MS Mincho" w:hAnsi="MS Mincho" w:cs="MS Mincho" w:hint="eastAsia"/>
          <w:lang w:eastAsia="ja-JP"/>
        </w:rPr>
      </w:pPr>
    </w:p>
    <w:p w:rsidR="00B8049A" w:rsidRPr="00F75AD6" w:rsidRDefault="00B8049A" w:rsidP="00B8049A">
      <w:pPr>
        <w:pStyle w:val="a3"/>
        <w:snapToGrid w:val="0"/>
        <w:spacing w:after="0" w:line="240" w:lineRule="auto"/>
        <w:ind w:left="0"/>
        <w:jc w:val="center"/>
        <w:rPr>
          <w:rFonts w:ascii="Century" w:hAnsi="Century"/>
          <w:b/>
          <w:color w:val="000000" w:themeColor="text1"/>
          <w:szCs w:val="24"/>
        </w:rPr>
      </w:pPr>
      <w:r w:rsidRPr="00F75AD6">
        <w:rPr>
          <w:rFonts w:ascii="Century" w:hAnsi="Century"/>
          <w:b/>
          <w:color w:val="000000" w:themeColor="text1"/>
          <w:szCs w:val="24"/>
        </w:rPr>
        <w:t>Abstract</w:t>
      </w:r>
    </w:p>
    <w:p w:rsidR="00B8049A" w:rsidRDefault="00B8049A" w:rsidP="00B8049A">
      <w:pPr>
        <w:pStyle w:val="a3"/>
        <w:snapToGrid w:val="0"/>
        <w:spacing w:after="0" w:line="240" w:lineRule="auto"/>
        <w:ind w:left="360" w:right="270"/>
        <w:jc w:val="both"/>
        <w:rPr>
          <w:rFonts w:ascii="Century" w:hAnsi="Century"/>
          <w:color w:val="000000" w:themeColor="text1"/>
          <w:sz w:val="20"/>
          <w:szCs w:val="20"/>
        </w:rPr>
      </w:pPr>
      <w:r>
        <w:rPr>
          <w:rFonts w:ascii="Century" w:hAnsi="Century"/>
          <w:color w:val="000000" w:themeColor="text1"/>
          <w:sz w:val="20"/>
          <w:szCs w:val="20"/>
        </w:rPr>
        <w:tab/>
      </w:r>
    </w:p>
    <w:p w:rsidR="00B8049A" w:rsidRPr="000E24F1" w:rsidRDefault="00B8049A" w:rsidP="00B8049A">
      <w:pPr>
        <w:pStyle w:val="a3"/>
        <w:snapToGrid w:val="0"/>
        <w:spacing w:after="0" w:line="240" w:lineRule="auto"/>
        <w:ind w:left="360" w:right="270"/>
        <w:jc w:val="both"/>
        <w:rPr>
          <w:rFonts w:ascii="Century" w:hAnsi="Century"/>
          <w:color w:val="000000" w:themeColor="text1"/>
          <w:sz w:val="20"/>
          <w:szCs w:val="20"/>
        </w:rPr>
      </w:pPr>
      <w:r>
        <w:rPr>
          <w:rFonts w:ascii="Century" w:hAnsi="Century"/>
          <w:color w:val="000000" w:themeColor="text1"/>
          <w:sz w:val="20"/>
          <w:szCs w:val="20"/>
        </w:rPr>
        <w:tab/>
      </w:r>
      <w:r w:rsidRPr="00032B42">
        <w:rPr>
          <w:rFonts w:ascii="Century" w:hAnsi="Century"/>
          <w:color w:val="000000" w:themeColor="text1"/>
          <w:sz w:val="24"/>
          <w:szCs w:val="20"/>
        </w:rPr>
        <w:t xml:space="preserve">This study focuses on the analysis of factors affecting commercialization and its impact on the productivity of </w:t>
      </w:r>
      <w:r w:rsidRPr="00032B42">
        <w:rPr>
          <w:rFonts w:ascii="Century" w:hAnsi="Century" w:hint="eastAsia"/>
          <w:color w:val="000000" w:themeColor="text1"/>
          <w:sz w:val="24"/>
          <w:szCs w:val="20"/>
          <w:lang w:eastAsia="ja-JP"/>
        </w:rPr>
        <w:t>r</w:t>
      </w:r>
      <w:r w:rsidRPr="00032B42">
        <w:rPr>
          <w:rFonts w:ascii="Century" w:hAnsi="Century"/>
          <w:color w:val="000000" w:themeColor="text1"/>
          <w:sz w:val="24"/>
          <w:szCs w:val="20"/>
        </w:rPr>
        <w:t xml:space="preserve">ice in Nepal. A survey comprising 120 </w:t>
      </w:r>
      <w:r w:rsidRPr="00032B42">
        <w:rPr>
          <w:rFonts w:ascii="Century" w:hAnsi="Century" w:hint="eastAsia"/>
          <w:color w:val="000000" w:themeColor="text1"/>
          <w:sz w:val="24"/>
          <w:szCs w:val="20"/>
          <w:lang w:eastAsia="ja-JP"/>
        </w:rPr>
        <w:t>r</w:t>
      </w:r>
      <w:r w:rsidRPr="00032B42">
        <w:rPr>
          <w:rFonts w:ascii="Century" w:hAnsi="Century"/>
          <w:color w:val="000000" w:themeColor="text1"/>
          <w:sz w:val="24"/>
          <w:szCs w:val="20"/>
        </w:rPr>
        <w:t>ice growers from two districts of Nepal is carried out. A commercialization index is calculated and is regressed on variables including farm household characteristics and market distance. The empirical evidence suggests that commercialization is negatively affected by market distance, and positively affected by land size, age and family size. The second stage analysis shows that the degree of commercialization of rice farm has positive impact on productivity. Apart from this, many other farm socio-economic characteristics like gender, age of household head, source of income, land size and level of input use per unit land have significant impact on the productivity of rice</w:t>
      </w:r>
      <w:r w:rsidRPr="000E24F1">
        <w:rPr>
          <w:rFonts w:ascii="Century" w:hAnsi="Century"/>
          <w:color w:val="000000" w:themeColor="text1"/>
          <w:sz w:val="20"/>
          <w:szCs w:val="20"/>
        </w:rPr>
        <w:t>.</w:t>
      </w:r>
    </w:p>
    <w:p w:rsidR="00B8049A" w:rsidRDefault="00B8049A" w:rsidP="00B8049A"/>
    <w:p w:rsidR="00B8049A" w:rsidRPr="00B8049A" w:rsidRDefault="00B8049A" w:rsidP="00692007">
      <w:pPr>
        <w:jc w:val="both"/>
        <w:rPr>
          <w:rFonts w:hint="eastAsia"/>
          <w:lang w:eastAsia="ja-JP"/>
        </w:rPr>
      </w:pPr>
    </w:p>
    <w:sectPr w:rsidR="00B8049A" w:rsidRPr="00B8049A" w:rsidSect="001668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E8" w:rsidRDefault="000360E8" w:rsidP="006E5A08">
      <w:pPr>
        <w:spacing w:after="0" w:line="240" w:lineRule="auto"/>
      </w:pPr>
      <w:r>
        <w:separator/>
      </w:r>
    </w:p>
  </w:endnote>
  <w:endnote w:type="continuationSeparator" w:id="0">
    <w:p w:rsidR="000360E8" w:rsidRDefault="000360E8" w:rsidP="006E5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Times New Roman"/>
    <w:panose1 w:val="00000000000000000000"/>
    <w:charset w:val="00"/>
    <w:family w:val="roman"/>
    <w:notTrueType/>
    <w:pitch w:val="default"/>
    <w:sig w:usb0="00000000" w:usb1="00000000" w:usb2="00000000" w:usb3="00000000" w:csb0="00000000" w:csb1="00000000"/>
  </w:font>
  <w:font w:name="MS Mincho">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E8" w:rsidRDefault="000360E8" w:rsidP="006E5A08">
      <w:pPr>
        <w:spacing w:after="0" w:line="240" w:lineRule="auto"/>
      </w:pPr>
      <w:r>
        <w:separator/>
      </w:r>
    </w:p>
  </w:footnote>
  <w:footnote w:type="continuationSeparator" w:id="0">
    <w:p w:rsidR="000360E8" w:rsidRDefault="000360E8" w:rsidP="006E5A08">
      <w:pPr>
        <w:spacing w:after="0" w:line="240" w:lineRule="auto"/>
      </w:pPr>
      <w:r>
        <w:continuationSeparator/>
      </w:r>
    </w:p>
  </w:footnote>
  <w:footnote w:id="1">
    <w:p w:rsidR="006E5A08" w:rsidRPr="00600A49" w:rsidRDefault="006E5A08" w:rsidP="006E5A08">
      <w:pPr>
        <w:pStyle w:val="a4"/>
        <w:jc w:val="both"/>
        <w:rPr>
          <w:sz w:val="18"/>
          <w:szCs w:val="16"/>
          <w:lang w:val="en-US"/>
        </w:rPr>
      </w:pPr>
      <w:r w:rsidRPr="00600A49">
        <w:rPr>
          <w:rStyle w:val="a6"/>
          <w:sz w:val="18"/>
          <w:szCs w:val="16"/>
        </w:rPr>
        <w:footnoteRef/>
      </w:r>
      <w:r w:rsidRPr="00600A49">
        <w:rPr>
          <w:sz w:val="18"/>
          <w:szCs w:val="16"/>
        </w:rPr>
        <w:t xml:space="preserve"> Corresponding Author. Graduate School of Agricultural and Life Sciences, The University of Tokyo,1-1-1 Yayoi, Bunkyo-ku, Tokyo 113-8657</w:t>
      </w:r>
    </w:p>
  </w:footnote>
  <w:footnote w:id="2">
    <w:p w:rsidR="006E5A08" w:rsidRPr="00600A49" w:rsidRDefault="006E5A08" w:rsidP="006E5A08">
      <w:pPr>
        <w:pStyle w:val="a4"/>
        <w:jc w:val="both"/>
        <w:rPr>
          <w:sz w:val="18"/>
          <w:szCs w:val="16"/>
          <w:lang w:val="en-US"/>
        </w:rPr>
      </w:pPr>
      <w:r w:rsidRPr="00600A49">
        <w:rPr>
          <w:rStyle w:val="a6"/>
          <w:sz w:val="18"/>
          <w:szCs w:val="16"/>
        </w:rPr>
        <w:footnoteRef/>
      </w:r>
      <w:r w:rsidRPr="00600A49">
        <w:rPr>
          <w:sz w:val="18"/>
          <w:szCs w:val="16"/>
        </w:rPr>
        <w:t xml:space="preserve"> Professor,  Graduate School of Agricultural and Life Sciences, The University of Tokyo</w:t>
      </w:r>
    </w:p>
  </w:footnote>
  <w:footnote w:id="3">
    <w:p w:rsidR="006E5A08" w:rsidRPr="00600A49" w:rsidRDefault="006E5A08" w:rsidP="006E5A08">
      <w:pPr>
        <w:pStyle w:val="a4"/>
        <w:jc w:val="both"/>
        <w:rPr>
          <w:sz w:val="18"/>
          <w:szCs w:val="16"/>
          <w:lang w:val="en-US"/>
        </w:rPr>
      </w:pPr>
      <w:r w:rsidRPr="00600A49">
        <w:rPr>
          <w:rStyle w:val="a6"/>
          <w:sz w:val="18"/>
          <w:szCs w:val="16"/>
        </w:rPr>
        <w:footnoteRef/>
      </w:r>
      <w:r w:rsidRPr="00600A49">
        <w:rPr>
          <w:sz w:val="18"/>
          <w:szCs w:val="16"/>
        </w:rPr>
        <w:t xml:space="preserve"> Associate Professor,  Graduate School of Agricultural and Life Sciences, The University of Tokyo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692007"/>
    <w:rsid w:val="000360E8"/>
    <w:rsid w:val="000F5951"/>
    <w:rsid w:val="00162E6A"/>
    <w:rsid w:val="00166860"/>
    <w:rsid w:val="004F13B7"/>
    <w:rsid w:val="00692007"/>
    <w:rsid w:val="006E5A08"/>
    <w:rsid w:val="008604C8"/>
    <w:rsid w:val="008A6A01"/>
    <w:rsid w:val="00B804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5A08"/>
    <w:pPr>
      <w:ind w:left="720"/>
      <w:contextualSpacing/>
    </w:pPr>
    <w:rPr>
      <w:rFonts w:ascii="Calibri" w:hAnsi="Calibri" w:cs="Times New Roman"/>
    </w:rPr>
  </w:style>
  <w:style w:type="paragraph" w:styleId="a4">
    <w:name w:val="footnote text"/>
    <w:basedOn w:val="a"/>
    <w:link w:val="a5"/>
    <w:uiPriority w:val="99"/>
    <w:semiHidden/>
    <w:unhideWhenUsed/>
    <w:rsid w:val="006E5A08"/>
    <w:pPr>
      <w:spacing w:after="0" w:line="240" w:lineRule="auto"/>
    </w:pPr>
    <w:rPr>
      <w:rFonts w:ascii="Calibri" w:eastAsia="Times New Roman" w:hAnsi="Calibri" w:cs="Times New Roman"/>
      <w:sz w:val="20"/>
      <w:szCs w:val="20"/>
      <w:lang w:val="en-GB"/>
    </w:rPr>
  </w:style>
  <w:style w:type="character" w:customStyle="1" w:styleId="a5">
    <w:name w:val="脚注文字列 (文字)"/>
    <w:basedOn w:val="a0"/>
    <w:link w:val="a4"/>
    <w:uiPriority w:val="99"/>
    <w:semiHidden/>
    <w:rsid w:val="006E5A08"/>
    <w:rPr>
      <w:rFonts w:ascii="Calibri" w:eastAsia="Times New Roman" w:hAnsi="Calibri" w:cs="Times New Roman"/>
      <w:sz w:val="20"/>
      <w:szCs w:val="20"/>
      <w:lang w:val="en-GB"/>
    </w:rPr>
  </w:style>
  <w:style w:type="character" w:styleId="a6">
    <w:name w:val="footnote reference"/>
    <w:basedOn w:val="a0"/>
    <w:uiPriority w:val="99"/>
    <w:semiHidden/>
    <w:unhideWhenUsed/>
    <w:rsid w:val="006E5A08"/>
    <w:rPr>
      <w:vertAlign w:val="superscript"/>
    </w:rPr>
  </w:style>
  <w:style w:type="paragraph" w:styleId="a7">
    <w:name w:val="header"/>
    <w:basedOn w:val="a"/>
    <w:link w:val="a8"/>
    <w:uiPriority w:val="99"/>
    <w:semiHidden/>
    <w:unhideWhenUsed/>
    <w:rsid w:val="00B8049A"/>
    <w:pPr>
      <w:tabs>
        <w:tab w:val="center" w:pos="4252"/>
        <w:tab w:val="right" w:pos="8504"/>
      </w:tabs>
      <w:snapToGrid w:val="0"/>
    </w:pPr>
  </w:style>
  <w:style w:type="character" w:customStyle="1" w:styleId="a8">
    <w:name w:val="ヘッダー (文字)"/>
    <w:basedOn w:val="a0"/>
    <w:link w:val="a7"/>
    <w:uiPriority w:val="99"/>
    <w:semiHidden/>
    <w:rsid w:val="00B8049A"/>
  </w:style>
  <w:style w:type="paragraph" w:styleId="a9">
    <w:name w:val="footer"/>
    <w:basedOn w:val="a"/>
    <w:link w:val="aa"/>
    <w:uiPriority w:val="99"/>
    <w:semiHidden/>
    <w:unhideWhenUsed/>
    <w:rsid w:val="00B8049A"/>
    <w:pPr>
      <w:tabs>
        <w:tab w:val="center" w:pos="4252"/>
        <w:tab w:val="right" w:pos="8504"/>
      </w:tabs>
      <w:snapToGrid w:val="0"/>
    </w:pPr>
  </w:style>
  <w:style w:type="character" w:customStyle="1" w:styleId="aa">
    <w:name w:val="フッター (文字)"/>
    <w:basedOn w:val="a0"/>
    <w:link w:val="a9"/>
    <w:uiPriority w:val="99"/>
    <w:semiHidden/>
    <w:rsid w:val="00B80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piya</dc:creator>
  <cp:lastModifiedBy> </cp:lastModifiedBy>
  <cp:revision>2</cp:revision>
  <cp:lastPrinted>2010-08-31T04:12:00Z</cp:lastPrinted>
  <dcterms:created xsi:type="dcterms:W3CDTF">2010-09-03T06:27:00Z</dcterms:created>
  <dcterms:modified xsi:type="dcterms:W3CDTF">2010-09-03T06:27:00Z</dcterms:modified>
</cp:coreProperties>
</file>